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F6D1C" w14:textId="4E8F1EE4" w:rsidR="00D46387" w:rsidRDefault="00D46387" w:rsidP="00924574">
      <w:pPr>
        <w:spacing w:after="0" w:line="240" w:lineRule="auto"/>
        <w:rPr>
          <w:rFonts w:cs="Arial"/>
          <w:sz w:val="20"/>
          <w:szCs w:val="20"/>
          <w:u w:val="single"/>
        </w:rPr>
      </w:pPr>
    </w:p>
    <w:p w14:paraId="7CBD7328" w14:textId="77777777" w:rsidR="00924574" w:rsidRPr="00924574" w:rsidRDefault="00924574" w:rsidP="00924574">
      <w:pPr>
        <w:spacing w:after="0" w:line="240" w:lineRule="auto"/>
        <w:jc w:val="center"/>
        <w:rPr>
          <w:rFonts w:ascii="Times New Roman" w:hAnsi="Times New Roman"/>
          <w:b/>
          <w:bCs/>
          <w:sz w:val="32"/>
          <w:szCs w:val="32"/>
        </w:rPr>
      </w:pPr>
      <w:r w:rsidRPr="00924574">
        <w:rPr>
          <w:rFonts w:ascii="Times New Roman" w:hAnsi="Times New Roman"/>
          <w:b/>
          <w:bCs/>
          <w:sz w:val="32"/>
          <w:szCs w:val="32"/>
        </w:rPr>
        <w:t>Personal Player Protective Equipment</w:t>
      </w:r>
    </w:p>
    <w:p w14:paraId="29A9A29D" w14:textId="77777777" w:rsidR="00D46387" w:rsidRDefault="00D46387" w:rsidP="00924574">
      <w:pPr>
        <w:spacing w:after="0" w:line="240" w:lineRule="auto"/>
        <w:outlineLvl w:val="0"/>
        <w:rPr>
          <w:rFonts w:cs="Arial"/>
          <w:sz w:val="20"/>
          <w:szCs w:val="20"/>
          <w:u w:val="single"/>
        </w:rPr>
      </w:pPr>
    </w:p>
    <w:p w14:paraId="66A6D609" w14:textId="77777777" w:rsidR="00924574" w:rsidRDefault="00924574" w:rsidP="00924574">
      <w:pPr>
        <w:spacing w:after="0" w:line="240" w:lineRule="auto"/>
        <w:rPr>
          <w:rFonts w:ascii="Times New Roman" w:hAnsi="Times New Roman"/>
          <w:sz w:val="24"/>
          <w:szCs w:val="24"/>
        </w:rPr>
      </w:pPr>
      <w:r w:rsidRPr="007663D4">
        <w:rPr>
          <w:rFonts w:ascii="Times New Roman" w:hAnsi="Times New Roman"/>
          <w:sz w:val="24"/>
          <w:szCs w:val="24"/>
        </w:rPr>
        <w:t>In accordance with the England Hockey regulations:</w:t>
      </w:r>
    </w:p>
    <w:p w14:paraId="296E0185" w14:textId="77777777" w:rsidR="00924574" w:rsidRPr="007663D4" w:rsidRDefault="00924574" w:rsidP="00924574">
      <w:pPr>
        <w:spacing w:after="0" w:line="240" w:lineRule="auto"/>
      </w:pPr>
    </w:p>
    <w:p w14:paraId="7C3D1485" w14:textId="77777777" w:rsidR="00924574" w:rsidRDefault="00924574" w:rsidP="00924574">
      <w:pPr>
        <w:spacing w:after="0" w:line="240" w:lineRule="auto"/>
        <w:rPr>
          <w:rFonts w:ascii="Times New Roman" w:hAnsi="Times New Roman"/>
          <w:sz w:val="24"/>
          <w:szCs w:val="24"/>
        </w:rPr>
      </w:pPr>
      <w:r w:rsidRPr="007663D4">
        <w:rPr>
          <w:rFonts w:ascii="Times New Roman" w:hAnsi="Times New Roman"/>
          <w:i/>
          <w:iCs/>
          <w:sz w:val="24"/>
          <w:szCs w:val="24"/>
        </w:rPr>
        <w:t>Field players are recommended to wear shin, ankle and mouth protection in all</w:t>
      </w:r>
      <w:r>
        <w:rPr>
          <w:rFonts w:ascii="Times New Roman" w:hAnsi="Times New Roman"/>
          <w:i/>
          <w:iCs/>
          <w:sz w:val="24"/>
          <w:szCs w:val="24"/>
        </w:rPr>
        <w:t xml:space="preserve"> </w:t>
      </w:r>
      <w:r w:rsidRPr="007663D4">
        <w:rPr>
          <w:rFonts w:ascii="Times New Roman" w:hAnsi="Times New Roman"/>
          <w:i/>
          <w:iCs/>
          <w:sz w:val="24"/>
          <w:szCs w:val="24"/>
        </w:rPr>
        <w:t>activity</w:t>
      </w:r>
      <w:r w:rsidRPr="007663D4">
        <w:rPr>
          <w:rFonts w:ascii="Times New Roman" w:hAnsi="Times New Roman"/>
          <w:sz w:val="24"/>
          <w:szCs w:val="24"/>
        </w:rPr>
        <w:t>.  It is the responsibility of all adult players to ensure they have the correct protection.  Any U18 player who attends club activity without the recommended protection is doing so on the understanding that their parent/guardian has given permission to do so.  Any injury that occurs without the recommended protection could be invalid under the insurance policy.</w:t>
      </w:r>
    </w:p>
    <w:p w14:paraId="4E491DEA" w14:textId="77777777" w:rsidR="00924574" w:rsidRPr="007663D4" w:rsidRDefault="00924574" w:rsidP="00924574">
      <w:pPr>
        <w:spacing w:after="0" w:line="240" w:lineRule="auto"/>
      </w:pPr>
    </w:p>
    <w:p w14:paraId="660D6D8D" w14:textId="77777777" w:rsidR="00924574" w:rsidRDefault="00924574" w:rsidP="00924574">
      <w:pPr>
        <w:pStyle w:val="gmail-m-8801819697661961589gmail-m-7170600152244752748msoheader"/>
        <w:spacing w:before="0" w:beforeAutospacing="0" w:after="0" w:afterAutospacing="0"/>
        <w:rPr>
          <w:rFonts w:ascii="Times New Roman" w:hAnsi="Times New Roman" w:cs="Times New Roman"/>
          <w:sz w:val="24"/>
          <w:szCs w:val="24"/>
        </w:rPr>
      </w:pPr>
      <w:r w:rsidRPr="007663D4">
        <w:rPr>
          <w:rFonts w:ascii="Times New Roman" w:hAnsi="Times New Roman" w:cs="Times New Roman"/>
          <w:i/>
          <w:iCs/>
          <w:sz w:val="24"/>
          <w:szCs w:val="24"/>
        </w:rPr>
        <w:t>Field players are permitted to wear any form of body protection (including leg protection, or knee pads, when defending a penalty corner) underneath normal playing clothing</w:t>
      </w:r>
      <w:r w:rsidRPr="007663D4">
        <w:rPr>
          <w:rFonts w:ascii="Times New Roman" w:hAnsi="Times New Roman" w:cs="Times New Roman"/>
          <w:sz w:val="24"/>
          <w:szCs w:val="24"/>
        </w:rPr>
        <w:t xml:space="preserve">.  TBBHC strongly advise players involved in PCD situations to purchase their own equipment to be used across the club, school and other environments.   Owning your own personal PCD equipment will reduce the chance of cross contamination from pooled equipment and will ensure players have appropriately fitting kit. </w:t>
      </w:r>
    </w:p>
    <w:p w14:paraId="2C30A85E" w14:textId="77777777" w:rsidR="00924574" w:rsidRPr="007663D4" w:rsidRDefault="00924574" w:rsidP="00924574">
      <w:pPr>
        <w:pStyle w:val="gmail-m-8801819697661961589gmail-m-7170600152244752748msoheader"/>
        <w:spacing w:before="0" w:beforeAutospacing="0" w:after="0" w:afterAutospacing="0"/>
      </w:pPr>
    </w:p>
    <w:p w14:paraId="61B7F86F" w14:textId="2AF70056" w:rsidR="00924574" w:rsidRDefault="00924574" w:rsidP="00924574">
      <w:pPr>
        <w:pStyle w:val="gmail-m-8801819697661961589gmail-m-7170600152244752748msoheader"/>
        <w:spacing w:before="0" w:beforeAutospacing="0" w:after="0" w:afterAutospacing="0"/>
        <w:rPr>
          <w:rFonts w:ascii="Times New Roman" w:hAnsi="Times New Roman" w:cs="Times New Roman"/>
          <w:sz w:val="24"/>
          <w:szCs w:val="24"/>
        </w:rPr>
      </w:pPr>
      <w:r w:rsidRPr="007663D4">
        <w:rPr>
          <w:rFonts w:ascii="Times New Roman" w:hAnsi="Times New Roman" w:cs="Times New Roman"/>
          <w:sz w:val="24"/>
          <w:szCs w:val="24"/>
        </w:rPr>
        <w:t xml:space="preserve">TBBHC </w:t>
      </w:r>
      <w:r w:rsidR="004D0FF9">
        <w:rPr>
          <w:rFonts w:ascii="Times New Roman" w:hAnsi="Times New Roman" w:cs="Times New Roman"/>
          <w:sz w:val="24"/>
          <w:szCs w:val="24"/>
        </w:rPr>
        <w:t>has a limited</w:t>
      </w:r>
      <w:r w:rsidRPr="007663D4">
        <w:rPr>
          <w:rFonts w:ascii="Times New Roman" w:hAnsi="Times New Roman" w:cs="Times New Roman"/>
          <w:sz w:val="24"/>
          <w:szCs w:val="24"/>
        </w:rPr>
        <w:t xml:space="preserve"> stockpile of PCD </w:t>
      </w:r>
      <w:r w:rsidR="004D0FF9">
        <w:rPr>
          <w:rFonts w:ascii="Times New Roman" w:hAnsi="Times New Roman" w:cs="Times New Roman"/>
          <w:sz w:val="24"/>
          <w:szCs w:val="24"/>
        </w:rPr>
        <w:t>kit</w:t>
      </w:r>
      <w:r w:rsidRPr="007663D4">
        <w:rPr>
          <w:rFonts w:ascii="Times New Roman" w:hAnsi="Times New Roman" w:cs="Times New Roman"/>
          <w:sz w:val="24"/>
          <w:szCs w:val="24"/>
        </w:rPr>
        <w:t xml:space="preserve"> so our preference is for players to buy their own PCD kit as we approach the start of the new season.  </w:t>
      </w:r>
      <w:r w:rsidR="004D0FF9">
        <w:rPr>
          <w:rFonts w:ascii="Times New Roman" w:hAnsi="Times New Roman" w:cs="Times New Roman"/>
          <w:sz w:val="24"/>
          <w:szCs w:val="24"/>
        </w:rPr>
        <w:t xml:space="preserve">If it is available at the time a player can ask to borrow club supply ahead of games/training and it is the players responsibility to make sure they have it for the session/match.  </w:t>
      </w:r>
      <w:r w:rsidRPr="007663D4">
        <w:rPr>
          <w:rFonts w:ascii="Times New Roman" w:hAnsi="Times New Roman" w:cs="Times New Roman"/>
          <w:sz w:val="24"/>
          <w:szCs w:val="24"/>
        </w:rPr>
        <w:t>TBBHC cannot be held responsible for any injury sustained when using borrowed PCD equipment, it is up to all adults to check any items they borrow prior to using them and for U18 parent/guardians to check any items used by junior players prior to taking part.</w:t>
      </w:r>
    </w:p>
    <w:p w14:paraId="69C2B5CE" w14:textId="77777777" w:rsidR="00924574" w:rsidRPr="007663D4" w:rsidRDefault="00924574" w:rsidP="00924574">
      <w:pPr>
        <w:pStyle w:val="gmail-m-8801819697661961589gmail-m-7170600152244752748msoheader"/>
        <w:spacing w:before="0" w:beforeAutospacing="0" w:after="0" w:afterAutospacing="0"/>
      </w:pPr>
    </w:p>
    <w:p w14:paraId="148722D3" w14:textId="449F6D0B" w:rsidR="00D46387" w:rsidRDefault="00924574" w:rsidP="00924574">
      <w:pPr>
        <w:spacing w:after="0" w:line="240" w:lineRule="auto"/>
        <w:outlineLvl w:val="0"/>
        <w:rPr>
          <w:rFonts w:cs="Arial"/>
          <w:b/>
          <w:bCs/>
          <w:color w:val="000000"/>
          <w:sz w:val="20"/>
          <w:szCs w:val="20"/>
        </w:rPr>
      </w:pPr>
      <w:r w:rsidRPr="007663D4">
        <w:rPr>
          <w:rFonts w:ascii="Times New Roman" w:hAnsi="Times New Roman"/>
          <w:i/>
          <w:iCs/>
          <w:sz w:val="24"/>
          <w:szCs w:val="24"/>
        </w:rPr>
        <w:t>Goalkeepers must wear protective equipment comprising of at least headgear, leg guards and kickers but also advised body, upper arm, elbow, forearm, hand, thigh and knee protectors</w:t>
      </w:r>
      <w:r w:rsidRPr="007663D4">
        <w:rPr>
          <w:rFonts w:ascii="Times New Roman" w:hAnsi="Times New Roman"/>
          <w:sz w:val="24"/>
          <w:szCs w:val="24"/>
        </w:rPr>
        <w:t xml:space="preserve">.  Goalkeepers in the U14 age groups and over are expected to provide their own GK kit when taking part in club activity.  U8-U12 age groups do have kit that can be borrowed but players must also provide their own groin/abdo guard if they are using the </w:t>
      </w:r>
      <w:r w:rsidR="005A1D14">
        <w:rPr>
          <w:rFonts w:ascii="Times New Roman" w:hAnsi="Times New Roman"/>
          <w:sz w:val="24"/>
          <w:szCs w:val="24"/>
        </w:rPr>
        <w:t>Junior Talent Centre</w:t>
      </w:r>
      <w:r w:rsidRPr="007663D4">
        <w:rPr>
          <w:rFonts w:ascii="Times New Roman" w:hAnsi="Times New Roman"/>
          <w:sz w:val="24"/>
          <w:szCs w:val="24"/>
        </w:rPr>
        <w:t xml:space="preserve"> goalkeeping kits.  It is the responsibility of all Goalkeepers to ensure that their kit is safe to use prior to any activity.</w:t>
      </w:r>
    </w:p>
    <w:p w14:paraId="1F4FC109" w14:textId="77777777" w:rsidR="00D46387" w:rsidRDefault="00D46387" w:rsidP="00924574">
      <w:pPr>
        <w:spacing w:after="0" w:line="240" w:lineRule="auto"/>
        <w:outlineLvl w:val="0"/>
        <w:rPr>
          <w:rFonts w:cs="Arial"/>
          <w:b/>
          <w:bCs/>
          <w:color w:val="000000"/>
          <w:sz w:val="20"/>
          <w:szCs w:val="20"/>
        </w:rPr>
      </w:pPr>
    </w:p>
    <w:p w14:paraId="51AD3B94" w14:textId="487F252D" w:rsidR="00D46387" w:rsidRPr="0028460F" w:rsidRDefault="0028460F" w:rsidP="00924574">
      <w:pPr>
        <w:spacing w:after="0" w:line="240" w:lineRule="auto"/>
        <w:outlineLvl w:val="0"/>
        <w:rPr>
          <w:rFonts w:ascii="Times New Roman" w:hAnsi="Times New Roman"/>
          <w:b/>
          <w:bCs/>
          <w:color w:val="000000"/>
          <w:sz w:val="24"/>
          <w:szCs w:val="24"/>
        </w:rPr>
      </w:pPr>
      <w:r w:rsidRPr="0028460F">
        <w:rPr>
          <w:rFonts w:ascii="Times New Roman" w:hAnsi="Times New Roman"/>
          <w:b/>
          <w:bCs/>
          <w:color w:val="000000"/>
          <w:sz w:val="24"/>
          <w:szCs w:val="24"/>
        </w:rPr>
        <w:t>England Hockey’s Face</w:t>
      </w:r>
      <w:r>
        <w:rPr>
          <w:rFonts w:ascii="Times New Roman" w:hAnsi="Times New Roman"/>
          <w:b/>
          <w:bCs/>
          <w:color w:val="000000"/>
          <w:sz w:val="24"/>
          <w:szCs w:val="24"/>
        </w:rPr>
        <w:t xml:space="preserve"> </w:t>
      </w:r>
      <w:r w:rsidRPr="0028460F">
        <w:rPr>
          <w:rFonts w:ascii="Times New Roman" w:hAnsi="Times New Roman"/>
          <w:b/>
          <w:bCs/>
          <w:color w:val="000000"/>
          <w:sz w:val="24"/>
          <w:szCs w:val="24"/>
        </w:rPr>
        <w:t>Mask Guidance August 2025</w:t>
      </w:r>
    </w:p>
    <w:p w14:paraId="703B7D9F" w14:textId="77777777" w:rsidR="0028460F" w:rsidRDefault="0028460F" w:rsidP="0028460F">
      <w:pPr>
        <w:spacing w:after="0" w:line="240" w:lineRule="auto"/>
        <w:outlineLvl w:val="0"/>
        <w:rPr>
          <w:rFonts w:ascii="Times New Roman" w:hAnsi="Times New Roman"/>
          <w:color w:val="000000"/>
          <w:sz w:val="24"/>
          <w:szCs w:val="24"/>
        </w:rPr>
      </w:pPr>
      <w:r w:rsidRPr="0028460F">
        <w:rPr>
          <w:rFonts w:ascii="Times New Roman" w:hAnsi="Times New Roman"/>
          <w:color w:val="000000"/>
          <w:sz w:val="24"/>
          <w:szCs w:val="24"/>
        </w:rPr>
        <w:t>FACEMASKS STRONGLY RECOMMENDED FOR DEFENDING PENALTY CORNERS </w:t>
      </w:r>
    </w:p>
    <w:p w14:paraId="40A1F432" w14:textId="77777777" w:rsidR="0028460F" w:rsidRPr="0028460F" w:rsidRDefault="0028460F" w:rsidP="0028460F">
      <w:pPr>
        <w:spacing w:after="0" w:line="240" w:lineRule="auto"/>
        <w:outlineLvl w:val="0"/>
        <w:rPr>
          <w:rFonts w:ascii="Times New Roman" w:hAnsi="Times New Roman"/>
          <w:color w:val="000000"/>
          <w:sz w:val="24"/>
          <w:szCs w:val="24"/>
        </w:rPr>
      </w:pPr>
    </w:p>
    <w:p w14:paraId="354F40A3" w14:textId="77777777" w:rsidR="0028460F" w:rsidRDefault="0028460F" w:rsidP="0028460F">
      <w:pPr>
        <w:spacing w:after="0" w:line="240" w:lineRule="auto"/>
        <w:outlineLvl w:val="0"/>
        <w:rPr>
          <w:rFonts w:ascii="Times New Roman" w:hAnsi="Times New Roman"/>
          <w:color w:val="000000"/>
          <w:sz w:val="24"/>
          <w:szCs w:val="24"/>
        </w:rPr>
      </w:pPr>
      <w:r w:rsidRPr="0028460F">
        <w:rPr>
          <w:rFonts w:ascii="Times New Roman" w:hAnsi="Times New Roman"/>
          <w:color w:val="000000"/>
          <w:sz w:val="24"/>
          <w:szCs w:val="24"/>
        </w:rPr>
        <w:t>Following updated FIH regulations mandating the use of facemasks in all official international competitions, England Hockey strongly recommends that all players - at every level and age - wear facemasks when defending penalty corners. </w:t>
      </w:r>
    </w:p>
    <w:p w14:paraId="4F9D28C3" w14:textId="77777777" w:rsidR="0028460F" w:rsidRPr="0028460F" w:rsidRDefault="0028460F" w:rsidP="0028460F">
      <w:pPr>
        <w:spacing w:after="0" w:line="240" w:lineRule="auto"/>
        <w:outlineLvl w:val="0"/>
        <w:rPr>
          <w:rFonts w:ascii="Times New Roman" w:hAnsi="Times New Roman"/>
          <w:color w:val="000000"/>
          <w:sz w:val="24"/>
          <w:szCs w:val="24"/>
        </w:rPr>
      </w:pPr>
    </w:p>
    <w:p w14:paraId="3C6F7B11" w14:textId="77777777" w:rsidR="0028460F" w:rsidRPr="0028460F" w:rsidRDefault="0028460F" w:rsidP="0028460F">
      <w:pPr>
        <w:spacing w:after="0" w:line="240" w:lineRule="auto"/>
        <w:outlineLvl w:val="0"/>
        <w:rPr>
          <w:rFonts w:ascii="Times New Roman" w:hAnsi="Times New Roman"/>
          <w:color w:val="000000"/>
          <w:sz w:val="24"/>
          <w:szCs w:val="24"/>
        </w:rPr>
      </w:pPr>
      <w:r w:rsidRPr="0028460F">
        <w:rPr>
          <w:rFonts w:ascii="Times New Roman" w:hAnsi="Times New Roman"/>
          <w:color w:val="000000"/>
          <w:sz w:val="24"/>
          <w:szCs w:val="24"/>
        </w:rPr>
        <w:t>The safety of players is a priority, and the use of facemasks during penalty corners - where ball speed and proximity present increased risk - can significantly reduce the chance of facial injury. </w:t>
      </w:r>
    </w:p>
    <w:p w14:paraId="1BD10A74" w14:textId="77777777" w:rsidR="0028460F" w:rsidRPr="0028460F" w:rsidRDefault="0028460F" w:rsidP="0028460F">
      <w:pPr>
        <w:spacing w:after="0" w:line="240" w:lineRule="auto"/>
        <w:outlineLvl w:val="0"/>
        <w:rPr>
          <w:rFonts w:ascii="Times New Roman" w:hAnsi="Times New Roman"/>
          <w:color w:val="000000"/>
          <w:sz w:val="24"/>
          <w:szCs w:val="24"/>
        </w:rPr>
      </w:pPr>
      <w:r w:rsidRPr="0028460F">
        <w:rPr>
          <w:rFonts w:ascii="Times New Roman" w:hAnsi="Times New Roman"/>
          <w:color w:val="000000"/>
          <w:sz w:val="24"/>
          <w:szCs w:val="24"/>
        </w:rPr>
        <w:t>After careful consideration, the England Hockey Board has decided not to make the use of facemasks mandatory for domestic hockey in England at this time. The current body of research into the use and impact of facemasks across all levels of the game remains limited, and further evidence is required before a compulsory rule can be applied. In line with our approach to other protective equipment - such as mouthguards and shin pads - we are strongly recommending their use. This position will be reviewed as and when further research becomes available. </w:t>
      </w:r>
    </w:p>
    <w:p w14:paraId="3D8ABE5C" w14:textId="77777777" w:rsidR="0028460F" w:rsidRDefault="0028460F" w:rsidP="0028460F">
      <w:pPr>
        <w:spacing w:after="0" w:line="240" w:lineRule="auto"/>
        <w:outlineLvl w:val="0"/>
        <w:rPr>
          <w:rFonts w:ascii="Times New Roman" w:hAnsi="Times New Roman"/>
          <w:color w:val="000000"/>
          <w:sz w:val="24"/>
          <w:szCs w:val="24"/>
        </w:rPr>
      </w:pPr>
      <w:r w:rsidRPr="0028460F">
        <w:rPr>
          <w:rFonts w:ascii="Times New Roman" w:hAnsi="Times New Roman"/>
          <w:color w:val="000000"/>
          <w:sz w:val="24"/>
          <w:szCs w:val="24"/>
        </w:rPr>
        <w:lastRenderedPageBreak/>
        <w:t>In addition, we continue to strongly recommend the use of shin, ankle and mouth protection for all players during training and matches. These items are essential for reducing the likelihood of preventable injuries in the sport. </w:t>
      </w:r>
    </w:p>
    <w:p w14:paraId="1BE1F609" w14:textId="77777777" w:rsidR="0028460F" w:rsidRPr="0028460F" w:rsidRDefault="0028460F" w:rsidP="0028460F">
      <w:pPr>
        <w:spacing w:after="0" w:line="240" w:lineRule="auto"/>
        <w:outlineLvl w:val="0"/>
        <w:rPr>
          <w:rFonts w:ascii="Times New Roman" w:hAnsi="Times New Roman"/>
          <w:color w:val="000000"/>
          <w:sz w:val="24"/>
          <w:szCs w:val="24"/>
        </w:rPr>
      </w:pPr>
    </w:p>
    <w:p w14:paraId="0EB5AE6F" w14:textId="77777777" w:rsidR="0028460F" w:rsidRPr="0028460F" w:rsidRDefault="0028460F" w:rsidP="0028460F">
      <w:pPr>
        <w:spacing w:after="0" w:line="240" w:lineRule="auto"/>
        <w:outlineLvl w:val="0"/>
        <w:rPr>
          <w:rFonts w:ascii="Times New Roman" w:hAnsi="Times New Roman"/>
          <w:color w:val="000000"/>
          <w:sz w:val="24"/>
          <w:szCs w:val="24"/>
        </w:rPr>
      </w:pPr>
      <w:r w:rsidRPr="0028460F">
        <w:rPr>
          <w:rFonts w:ascii="Times New Roman" w:hAnsi="Times New Roman"/>
          <w:color w:val="000000"/>
          <w:sz w:val="24"/>
          <w:szCs w:val="24"/>
        </w:rPr>
        <w:t>We encourage clubs, coaches, and parents to support this guidance to help foster a culture of safety and responsibility across the hockey community. </w:t>
      </w:r>
    </w:p>
    <w:p w14:paraId="1BE44B5D" w14:textId="3797EC6B" w:rsidR="0028460F" w:rsidRPr="0028460F" w:rsidRDefault="0028460F" w:rsidP="00924574">
      <w:pPr>
        <w:spacing w:after="0" w:line="240" w:lineRule="auto"/>
        <w:outlineLvl w:val="0"/>
        <w:rPr>
          <w:rFonts w:ascii="Times New Roman" w:hAnsi="Times New Roman"/>
          <w:color w:val="000000"/>
          <w:sz w:val="24"/>
          <w:szCs w:val="24"/>
        </w:rPr>
      </w:pPr>
    </w:p>
    <w:p w14:paraId="7DD37747" w14:textId="77777777" w:rsidR="00D46387" w:rsidRDefault="00D46387" w:rsidP="00924574">
      <w:pPr>
        <w:spacing w:after="0" w:line="240" w:lineRule="auto"/>
        <w:outlineLvl w:val="0"/>
        <w:rPr>
          <w:rFonts w:cs="Arial"/>
          <w:b/>
          <w:bCs/>
          <w:color w:val="000000"/>
          <w:sz w:val="20"/>
          <w:szCs w:val="20"/>
        </w:rPr>
      </w:pPr>
    </w:p>
    <w:p w14:paraId="3493C8D1" w14:textId="77777777" w:rsidR="00D46387" w:rsidRPr="00835D3E" w:rsidRDefault="00D46387" w:rsidP="00924574">
      <w:pPr>
        <w:spacing w:after="0" w:line="240" w:lineRule="auto"/>
        <w:outlineLvl w:val="0"/>
        <w:rPr>
          <w:rFonts w:cs="Arial"/>
          <w:b/>
          <w:bCs/>
          <w:color w:val="000000"/>
          <w:sz w:val="20"/>
          <w:szCs w:val="20"/>
        </w:rPr>
      </w:pPr>
      <w:r w:rsidRPr="00835D3E">
        <w:rPr>
          <w:rFonts w:cs="Arial"/>
          <w:b/>
          <w:bCs/>
          <w:color w:val="000000"/>
          <w:sz w:val="20"/>
          <w:szCs w:val="20"/>
        </w:rPr>
        <w:t>Revision history</w:t>
      </w:r>
    </w:p>
    <w:tbl>
      <w:tblPr>
        <w:tblW w:w="9608" w:type="dxa"/>
        <w:tblLayout w:type="fixed"/>
        <w:tblLook w:val="0000" w:firstRow="0" w:lastRow="0" w:firstColumn="0" w:lastColumn="0" w:noHBand="0" w:noVBand="0"/>
      </w:tblPr>
      <w:tblGrid>
        <w:gridCol w:w="817"/>
        <w:gridCol w:w="1418"/>
        <w:gridCol w:w="4971"/>
        <w:gridCol w:w="2402"/>
      </w:tblGrid>
      <w:tr w:rsidR="00D46387" w:rsidRPr="00B610D0" w14:paraId="42BA2624" w14:textId="77777777" w:rsidTr="00403A0B">
        <w:trPr>
          <w:trHeight w:val="272"/>
        </w:trPr>
        <w:tc>
          <w:tcPr>
            <w:tcW w:w="817" w:type="dxa"/>
            <w:tcBorders>
              <w:top w:val="single" w:sz="4" w:space="0" w:color="000000"/>
              <w:left w:val="single" w:sz="4" w:space="0" w:color="000000"/>
              <w:bottom w:val="single" w:sz="4" w:space="0" w:color="000000"/>
              <w:right w:val="single" w:sz="4" w:space="0" w:color="000000"/>
            </w:tcBorders>
            <w:shd w:val="clear" w:color="auto" w:fill="002060"/>
            <w:vAlign w:val="bottom"/>
          </w:tcPr>
          <w:p w14:paraId="248BD4AA" w14:textId="77777777" w:rsidR="00D46387" w:rsidRPr="00B610D0" w:rsidRDefault="00D46387" w:rsidP="00924574">
            <w:pPr>
              <w:autoSpaceDE w:val="0"/>
              <w:autoSpaceDN w:val="0"/>
              <w:adjustRightInd w:val="0"/>
              <w:spacing w:after="0" w:line="240" w:lineRule="auto"/>
              <w:jc w:val="center"/>
              <w:rPr>
                <w:rFonts w:cs="Arial"/>
                <w:b/>
                <w:color w:val="FFFFFF"/>
                <w:sz w:val="20"/>
                <w:szCs w:val="20"/>
              </w:rPr>
            </w:pPr>
            <w:r w:rsidRPr="00B610D0">
              <w:rPr>
                <w:rFonts w:cs="Arial"/>
                <w:b/>
                <w:color w:val="FFFFFF"/>
                <w:sz w:val="20"/>
                <w:szCs w:val="20"/>
              </w:rPr>
              <w:t>Issue</w:t>
            </w:r>
          </w:p>
        </w:tc>
        <w:tc>
          <w:tcPr>
            <w:tcW w:w="1418" w:type="dxa"/>
            <w:tcBorders>
              <w:top w:val="single" w:sz="4" w:space="0" w:color="000000"/>
              <w:left w:val="single" w:sz="4" w:space="0" w:color="000000"/>
              <w:bottom w:val="single" w:sz="4" w:space="0" w:color="000000"/>
              <w:right w:val="single" w:sz="4" w:space="0" w:color="000000"/>
            </w:tcBorders>
            <w:shd w:val="clear" w:color="auto" w:fill="002060"/>
            <w:vAlign w:val="bottom"/>
          </w:tcPr>
          <w:p w14:paraId="236A5653" w14:textId="77777777" w:rsidR="00D46387" w:rsidRPr="00B610D0" w:rsidRDefault="00D46387" w:rsidP="00924574">
            <w:pPr>
              <w:autoSpaceDE w:val="0"/>
              <w:autoSpaceDN w:val="0"/>
              <w:adjustRightInd w:val="0"/>
              <w:spacing w:after="0" w:line="240" w:lineRule="auto"/>
              <w:jc w:val="center"/>
              <w:rPr>
                <w:rFonts w:cs="Arial"/>
                <w:b/>
                <w:color w:val="FFFFFF"/>
                <w:sz w:val="20"/>
                <w:szCs w:val="20"/>
              </w:rPr>
            </w:pPr>
            <w:r w:rsidRPr="00B610D0">
              <w:rPr>
                <w:rFonts w:cs="Arial"/>
                <w:b/>
                <w:color w:val="FFFFFF"/>
                <w:sz w:val="20"/>
                <w:szCs w:val="20"/>
              </w:rPr>
              <w:t>Date</w:t>
            </w:r>
          </w:p>
        </w:tc>
        <w:tc>
          <w:tcPr>
            <w:tcW w:w="4971" w:type="dxa"/>
            <w:tcBorders>
              <w:top w:val="single" w:sz="4" w:space="0" w:color="000000"/>
              <w:left w:val="single" w:sz="4" w:space="0" w:color="000000"/>
              <w:bottom w:val="single" w:sz="4" w:space="0" w:color="000000"/>
              <w:right w:val="single" w:sz="4" w:space="0" w:color="000000"/>
            </w:tcBorders>
            <w:shd w:val="clear" w:color="auto" w:fill="002060"/>
            <w:vAlign w:val="bottom"/>
          </w:tcPr>
          <w:p w14:paraId="417E7C74" w14:textId="77777777" w:rsidR="00D46387" w:rsidRPr="00B610D0" w:rsidRDefault="00D46387" w:rsidP="00924574">
            <w:pPr>
              <w:autoSpaceDE w:val="0"/>
              <w:autoSpaceDN w:val="0"/>
              <w:adjustRightInd w:val="0"/>
              <w:spacing w:after="0" w:line="240" w:lineRule="auto"/>
              <w:jc w:val="center"/>
              <w:rPr>
                <w:rFonts w:cs="Arial"/>
                <w:b/>
                <w:color w:val="FFFFFF"/>
                <w:sz w:val="20"/>
                <w:szCs w:val="20"/>
              </w:rPr>
            </w:pPr>
            <w:r w:rsidRPr="00B610D0">
              <w:rPr>
                <w:rFonts w:cs="Arial"/>
                <w:b/>
                <w:color w:val="FFFFFF"/>
                <w:sz w:val="20"/>
                <w:szCs w:val="20"/>
              </w:rPr>
              <w:t>Description</w:t>
            </w:r>
          </w:p>
        </w:tc>
        <w:tc>
          <w:tcPr>
            <w:tcW w:w="2402" w:type="dxa"/>
            <w:tcBorders>
              <w:top w:val="single" w:sz="4" w:space="0" w:color="000000"/>
              <w:left w:val="single" w:sz="4" w:space="0" w:color="000000"/>
              <w:bottom w:val="single" w:sz="4" w:space="0" w:color="000000"/>
              <w:right w:val="single" w:sz="4" w:space="0" w:color="000000"/>
            </w:tcBorders>
            <w:shd w:val="clear" w:color="auto" w:fill="002060"/>
            <w:vAlign w:val="bottom"/>
          </w:tcPr>
          <w:p w14:paraId="2C7940DD" w14:textId="77777777" w:rsidR="00D46387" w:rsidRPr="00B610D0" w:rsidRDefault="00D46387" w:rsidP="00924574">
            <w:pPr>
              <w:autoSpaceDE w:val="0"/>
              <w:autoSpaceDN w:val="0"/>
              <w:adjustRightInd w:val="0"/>
              <w:spacing w:after="0" w:line="240" w:lineRule="auto"/>
              <w:jc w:val="center"/>
              <w:rPr>
                <w:rFonts w:cs="Arial"/>
                <w:b/>
                <w:color w:val="FFFFFF"/>
                <w:sz w:val="20"/>
                <w:szCs w:val="20"/>
              </w:rPr>
            </w:pPr>
            <w:r>
              <w:rPr>
                <w:rFonts w:cs="Arial"/>
                <w:b/>
                <w:color w:val="FFFFFF"/>
                <w:sz w:val="20"/>
                <w:szCs w:val="20"/>
              </w:rPr>
              <w:t>Editorial Ownership</w:t>
            </w:r>
          </w:p>
        </w:tc>
      </w:tr>
      <w:tr w:rsidR="00D46387" w:rsidRPr="00B610D0" w14:paraId="39211AFA" w14:textId="77777777" w:rsidTr="0075586D">
        <w:trPr>
          <w:trHeight w:val="146"/>
        </w:trPr>
        <w:tc>
          <w:tcPr>
            <w:tcW w:w="817" w:type="dxa"/>
            <w:tcBorders>
              <w:top w:val="single" w:sz="4" w:space="0" w:color="000000"/>
              <w:left w:val="single" w:sz="4" w:space="0" w:color="000000"/>
              <w:bottom w:val="single" w:sz="4" w:space="0" w:color="000000"/>
              <w:right w:val="single" w:sz="4" w:space="0" w:color="000000"/>
            </w:tcBorders>
            <w:vAlign w:val="center"/>
          </w:tcPr>
          <w:p w14:paraId="7A561455" w14:textId="6B2CCA9E" w:rsidR="00D46387" w:rsidRPr="00B610D0" w:rsidRDefault="00D46387" w:rsidP="00924574">
            <w:pPr>
              <w:autoSpaceDE w:val="0"/>
              <w:autoSpaceDN w:val="0"/>
              <w:adjustRightInd w:val="0"/>
              <w:spacing w:after="0" w:line="240" w:lineRule="auto"/>
              <w:rPr>
                <w:rFonts w:cs="Arial"/>
                <w:color w:val="000000"/>
                <w:sz w:val="20"/>
                <w:szCs w:val="20"/>
              </w:rPr>
            </w:pPr>
            <w:r>
              <w:rPr>
                <w:rFonts w:cs="Arial"/>
                <w:color w:val="000000"/>
                <w:sz w:val="20"/>
                <w:szCs w:val="20"/>
              </w:rPr>
              <w:t>V</w:t>
            </w:r>
            <w:r w:rsidR="00725542">
              <w:rPr>
                <w:rFonts w:cs="Arial"/>
                <w:color w:val="000000"/>
                <w:sz w:val="20"/>
                <w:szCs w:val="20"/>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356F83D" w14:textId="312AF6E4" w:rsidR="00D46387" w:rsidRPr="00B610D0" w:rsidRDefault="00924574" w:rsidP="00924574">
            <w:pPr>
              <w:autoSpaceDE w:val="0"/>
              <w:autoSpaceDN w:val="0"/>
              <w:adjustRightInd w:val="0"/>
              <w:spacing w:after="0" w:line="240" w:lineRule="auto"/>
              <w:rPr>
                <w:rFonts w:cs="Arial"/>
                <w:color w:val="000000"/>
                <w:sz w:val="20"/>
                <w:szCs w:val="20"/>
              </w:rPr>
            </w:pPr>
            <w:r>
              <w:rPr>
                <w:rFonts w:cs="Arial"/>
                <w:color w:val="000000"/>
                <w:sz w:val="20"/>
                <w:szCs w:val="20"/>
              </w:rPr>
              <w:t>24 July 2021</w:t>
            </w:r>
          </w:p>
        </w:tc>
        <w:tc>
          <w:tcPr>
            <w:tcW w:w="4971" w:type="dxa"/>
            <w:tcBorders>
              <w:top w:val="single" w:sz="4" w:space="0" w:color="000000"/>
              <w:left w:val="single" w:sz="4" w:space="0" w:color="000000"/>
              <w:bottom w:val="single" w:sz="4" w:space="0" w:color="000000"/>
              <w:right w:val="single" w:sz="4" w:space="0" w:color="000000"/>
            </w:tcBorders>
            <w:vAlign w:val="center"/>
          </w:tcPr>
          <w:p w14:paraId="4A7E23A3" w14:textId="45EE1A9B" w:rsidR="00D46387" w:rsidRPr="00B610D0" w:rsidRDefault="00924574" w:rsidP="00924574">
            <w:pPr>
              <w:autoSpaceDE w:val="0"/>
              <w:autoSpaceDN w:val="0"/>
              <w:adjustRightInd w:val="0"/>
              <w:spacing w:after="0" w:line="240" w:lineRule="auto"/>
              <w:rPr>
                <w:rFonts w:cs="Arial"/>
                <w:color w:val="000000"/>
                <w:sz w:val="20"/>
                <w:szCs w:val="20"/>
              </w:rPr>
            </w:pPr>
            <w:r>
              <w:rPr>
                <w:rFonts w:cs="Arial"/>
                <w:color w:val="000000"/>
                <w:sz w:val="20"/>
                <w:szCs w:val="20"/>
              </w:rPr>
              <w:t>Introduced in accordance with EH Guidance</w:t>
            </w:r>
          </w:p>
        </w:tc>
        <w:tc>
          <w:tcPr>
            <w:tcW w:w="2402" w:type="dxa"/>
            <w:tcBorders>
              <w:top w:val="single" w:sz="4" w:space="0" w:color="000000"/>
              <w:left w:val="single" w:sz="4" w:space="0" w:color="000000"/>
              <w:bottom w:val="single" w:sz="4" w:space="0" w:color="000000"/>
              <w:right w:val="single" w:sz="4" w:space="0" w:color="000000"/>
            </w:tcBorders>
            <w:vAlign w:val="center"/>
          </w:tcPr>
          <w:p w14:paraId="6429F822" w14:textId="39B28A0B" w:rsidR="00D46387" w:rsidRPr="00B610D0" w:rsidRDefault="00924574" w:rsidP="00924574">
            <w:pPr>
              <w:autoSpaceDE w:val="0"/>
              <w:autoSpaceDN w:val="0"/>
              <w:adjustRightInd w:val="0"/>
              <w:spacing w:after="0" w:line="240" w:lineRule="auto"/>
              <w:rPr>
                <w:rFonts w:cs="Arial"/>
                <w:color w:val="000000"/>
                <w:sz w:val="20"/>
                <w:szCs w:val="20"/>
              </w:rPr>
            </w:pPr>
            <w:r>
              <w:rPr>
                <w:rFonts w:cs="Arial"/>
                <w:color w:val="000000"/>
                <w:sz w:val="20"/>
                <w:szCs w:val="20"/>
              </w:rPr>
              <w:t>Club Administrator</w:t>
            </w:r>
          </w:p>
        </w:tc>
      </w:tr>
      <w:tr w:rsidR="005A1D14" w:rsidRPr="00B610D0" w14:paraId="20015520" w14:textId="77777777" w:rsidTr="0075586D">
        <w:trPr>
          <w:trHeight w:val="146"/>
        </w:trPr>
        <w:tc>
          <w:tcPr>
            <w:tcW w:w="817" w:type="dxa"/>
            <w:tcBorders>
              <w:top w:val="single" w:sz="4" w:space="0" w:color="000000"/>
              <w:left w:val="single" w:sz="4" w:space="0" w:color="000000"/>
              <w:bottom w:val="single" w:sz="4" w:space="0" w:color="000000"/>
              <w:right w:val="single" w:sz="4" w:space="0" w:color="000000"/>
            </w:tcBorders>
            <w:vAlign w:val="center"/>
          </w:tcPr>
          <w:p w14:paraId="53647663" w14:textId="11B38FE1" w:rsidR="005A1D14" w:rsidRDefault="005A1D14" w:rsidP="00924574">
            <w:pPr>
              <w:autoSpaceDE w:val="0"/>
              <w:autoSpaceDN w:val="0"/>
              <w:adjustRightInd w:val="0"/>
              <w:spacing w:after="0" w:line="240" w:lineRule="auto"/>
              <w:rPr>
                <w:rFonts w:cs="Arial"/>
                <w:color w:val="000000"/>
                <w:sz w:val="20"/>
                <w:szCs w:val="20"/>
              </w:rPr>
            </w:pPr>
            <w:r>
              <w:rPr>
                <w:rFonts w:cs="Arial"/>
                <w:color w:val="000000"/>
                <w:sz w:val="20"/>
                <w:szCs w:val="20"/>
              </w:rPr>
              <w:t>V2</w:t>
            </w:r>
          </w:p>
        </w:tc>
        <w:tc>
          <w:tcPr>
            <w:tcW w:w="1418" w:type="dxa"/>
            <w:tcBorders>
              <w:top w:val="single" w:sz="4" w:space="0" w:color="000000"/>
              <w:left w:val="single" w:sz="4" w:space="0" w:color="000000"/>
              <w:bottom w:val="single" w:sz="4" w:space="0" w:color="000000"/>
              <w:right w:val="single" w:sz="4" w:space="0" w:color="000000"/>
            </w:tcBorders>
            <w:vAlign w:val="center"/>
          </w:tcPr>
          <w:p w14:paraId="501E9B4A" w14:textId="175112FB" w:rsidR="005A1D14" w:rsidRDefault="005A1D14" w:rsidP="00924574">
            <w:pPr>
              <w:autoSpaceDE w:val="0"/>
              <w:autoSpaceDN w:val="0"/>
              <w:adjustRightInd w:val="0"/>
              <w:spacing w:after="0" w:line="240" w:lineRule="auto"/>
              <w:rPr>
                <w:rFonts w:cs="Arial"/>
                <w:color w:val="000000"/>
                <w:sz w:val="20"/>
                <w:szCs w:val="20"/>
              </w:rPr>
            </w:pPr>
            <w:r>
              <w:rPr>
                <w:rFonts w:cs="Arial"/>
                <w:color w:val="000000"/>
                <w:sz w:val="20"/>
                <w:szCs w:val="20"/>
              </w:rPr>
              <w:t>May 2022</w:t>
            </w:r>
          </w:p>
        </w:tc>
        <w:tc>
          <w:tcPr>
            <w:tcW w:w="4971" w:type="dxa"/>
            <w:tcBorders>
              <w:top w:val="single" w:sz="4" w:space="0" w:color="000000"/>
              <w:left w:val="single" w:sz="4" w:space="0" w:color="000000"/>
              <w:bottom w:val="single" w:sz="4" w:space="0" w:color="000000"/>
              <w:right w:val="single" w:sz="4" w:space="0" w:color="000000"/>
            </w:tcBorders>
            <w:vAlign w:val="center"/>
          </w:tcPr>
          <w:p w14:paraId="4138523B" w14:textId="1F06BBE2" w:rsidR="005A1D14" w:rsidRDefault="005A1D14" w:rsidP="00924574">
            <w:pPr>
              <w:autoSpaceDE w:val="0"/>
              <w:autoSpaceDN w:val="0"/>
              <w:adjustRightInd w:val="0"/>
              <w:spacing w:after="0" w:line="240" w:lineRule="auto"/>
              <w:rPr>
                <w:rFonts w:cs="Arial"/>
                <w:color w:val="000000"/>
                <w:sz w:val="20"/>
                <w:szCs w:val="20"/>
              </w:rPr>
            </w:pPr>
            <w:r>
              <w:rPr>
                <w:rFonts w:cs="Arial"/>
                <w:color w:val="000000"/>
                <w:sz w:val="20"/>
                <w:szCs w:val="20"/>
              </w:rPr>
              <w:t>Updated to incorporate the name change from Academy to Junior Talent Centre</w:t>
            </w:r>
          </w:p>
        </w:tc>
        <w:tc>
          <w:tcPr>
            <w:tcW w:w="2402" w:type="dxa"/>
            <w:tcBorders>
              <w:top w:val="single" w:sz="4" w:space="0" w:color="000000"/>
              <w:left w:val="single" w:sz="4" w:space="0" w:color="000000"/>
              <w:bottom w:val="single" w:sz="4" w:space="0" w:color="000000"/>
              <w:right w:val="single" w:sz="4" w:space="0" w:color="000000"/>
            </w:tcBorders>
            <w:vAlign w:val="center"/>
          </w:tcPr>
          <w:p w14:paraId="28B76DF0" w14:textId="2F772E71" w:rsidR="005A1D14" w:rsidRDefault="005A1D14" w:rsidP="00924574">
            <w:pPr>
              <w:autoSpaceDE w:val="0"/>
              <w:autoSpaceDN w:val="0"/>
              <w:adjustRightInd w:val="0"/>
              <w:spacing w:after="0" w:line="240" w:lineRule="auto"/>
              <w:rPr>
                <w:rFonts w:cs="Arial"/>
                <w:color w:val="000000"/>
                <w:sz w:val="20"/>
                <w:szCs w:val="20"/>
              </w:rPr>
            </w:pPr>
            <w:r>
              <w:rPr>
                <w:rFonts w:cs="Arial"/>
                <w:color w:val="000000"/>
                <w:sz w:val="20"/>
                <w:szCs w:val="20"/>
              </w:rPr>
              <w:t>Club Administrator</w:t>
            </w:r>
          </w:p>
        </w:tc>
      </w:tr>
      <w:tr w:rsidR="0028460F" w:rsidRPr="00B610D0" w14:paraId="781135C3" w14:textId="77777777" w:rsidTr="0075586D">
        <w:trPr>
          <w:trHeight w:val="146"/>
        </w:trPr>
        <w:tc>
          <w:tcPr>
            <w:tcW w:w="817" w:type="dxa"/>
            <w:tcBorders>
              <w:top w:val="single" w:sz="4" w:space="0" w:color="000000"/>
              <w:left w:val="single" w:sz="4" w:space="0" w:color="000000"/>
              <w:bottom w:val="single" w:sz="4" w:space="0" w:color="000000"/>
              <w:right w:val="single" w:sz="4" w:space="0" w:color="000000"/>
            </w:tcBorders>
            <w:vAlign w:val="center"/>
          </w:tcPr>
          <w:p w14:paraId="04552A79" w14:textId="3FA78A8A" w:rsidR="0028460F" w:rsidRDefault="0028460F" w:rsidP="00924574">
            <w:pPr>
              <w:autoSpaceDE w:val="0"/>
              <w:autoSpaceDN w:val="0"/>
              <w:adjustRightInd w:val="0"/>
              <w:spacing w:after="0" w:line="240" w:lineRule="auto"/>
              <w:rPr>
                <w:rFonts w:cs="Arial"/>
                <w:color w:val="000000"/>
                <w:sz w:val="20"/>
                <w:szCs w:val="20"/>
              </w:rPr>
            </w:pPr>
            <w:r>
              <w:rPr>
                <w:rFonts w:cs="Arial"/>
                <w:color w:val="000000"/>
                <w:sz w:val="20"/>
                <w:szCs w:val="20"/>
              </w:rPr>
              <w:t>V3</w:t>
            </w:r>
          </w:p>
        </w:tc>
        <w:tc>
          <w:tcPr>
            <w:tcW w:w="1418" w:type="dxa"/>
            <w:tcBorders>
              <w:top w:val="single" w:sz="4" w:space="0" w:color="000000"/>
              <w:left w:val="single" w:sz="4" w:space="0" w:color="000000"/>
              <w:bottom w:val="single" w:sz="4" w:space="0" w:color="000000"/>
              <w:right w:val="single" w:sz="4" w:space="0" w:color="000000"/>
            </w:tcBorders>
            <w:vAlign w:val="center"/>
          </w:tcPr>
          <w:p w14:paraId="524B2226" w14:textId="5284BEC3" w:rsidR="0028460F" w:rsidRDefault="0028460F" w:rsidP="00924574">
            <w:pPr>
              <w:autoSpaceDE w:val="0"/>
              <w:autoSpaceDN w:val="0"/>
              <w:adjustRightInd w:val="0"/>
              <w:spacing w:after="0" w:line="240" w:lineRule="auto"/>
              <w:rPr>
                <w:rFonts w:cs="Arial"/>
                <w:color w:val="000000"/>
                <w:sz w:val="20"/>
                <w:szCs w:val="20"/>
              </w:rPr>
            </w:pPr>
            <w:r>
              <w:rPr>
                <w:rFonts w:cs="Arial"/>
                <w:color w:val="000000"/>
                <w:sz w:val="20"/>
                <w:szCs w:val="20"/>
              </w:rPr>
              <w:t>August 2025</w:t>
            </w:r>
          </w:p>
        </w:tc>
        <w:tc>
          <w:tcPr>
            <w:tcW w:w="4971" w:type="dxa"/>
            <w:tcBorders>
              <w:top w:val="single" w:sz="4" w:space="0" w:color="000000"/>
              <w:left w:val="single" w:sz="4" w:space="0" w:color="000000"/>
              <w:bottom w:val="single" w:sz="4" w:space="0" w:color="000000"/>
              <w:right w:val="single" w:sz="4" w:space="0" w:color="000000"/>
            </w:tcBorders>
            <w:vAlign w:val="center"/>
          </w:tcPr>
          <w:p w14:paraId="2769DC81" w14:textId="7388E5F4" w:rsidR="0028460F" w:rsidRDefault="0028460F" w:rsidP="00924574">
            <w:pPr>
              <w:autoSpaceDE w:val="0"/>
              <w:autoSpaceDN w:val="0"/>
              <w:adjustRightInd w:val="0"/>
              <w:spacing w:after="0" w:line="240" w:lineRule="auto"/>
              <w:rPr>
                <w:rFonts w:cs="Arial"/>
                <w:color w:val="000000"/>
                <w:sz w:val="20"/>
                <w:szCs w:val="20"/>
              </w:rPr>
            </w:pPr>
            <w:r>
              <w:rPr>
                <w:rFonts w:cs="Arial"/>
                <w:color w:val="000000"/>
                <w:sz w:val="20"/>
                <w:szCs w:val="20"/>
              </w:rPr>
              <w:t>Updated to include EH’s new recommendation</w:t>
            </w:r>
          </w:p>
        </w:tc>
        <w:tc>
          <w:tcPr>
            <w:tcW w:w="2402" w:type="dxa"/>
            <w:tcBorders>
              <w:top w:val="single" w:sz="4" w:space="0" w:color="000000"/>
              <w:left w:val="single" w:sz="4" w:space="0" w:color="000000"/>
              <w:bottom w:val="single" w:sz="4" w:space="0" w:color="000000"/>
              <w:right w:val="single" w:sz="4" w:space="0" w:color="000000"/>
            </w:tcBorders>
            <w:vAlign w:val="center"/>
          </w:tcPr>
          <w:p w14:paraId="233D0C65" w14:textId="27FEAB70" w:rsidR="0028460F" w:rsidRDefault="0028460F" w:rsidP="00924574">
            <w:pPr>
              <w:autoSpaceDE w:val="0"/>
              <w:autoSpaceDN w:val="0"/>
              <w:adjustRightInd w:val="0"/>
              <w:spacing w:after="0" w:line="240" w:lineRule="auto"/>
              <w:rPr>
                <w:rFonts w:cs="Arial"/>
                <w:color w:val="000000"/>
                <w:sz w:val="20"/>
                <w:szCs w:val="20"/>
              </w:rPr>
            </w:pPr>
            <w:r>
              <w:rPr>
                <w:rFonts w:cs="Arial"/>
                <w:color w:val="000000"/>
                <w:sz w:val="20"/>
                <w:szCs w:val="20"/>
              </w:rPr>
              <w:t>Club Administrator</w:t>
            </w:r>
          </w:p>
        </w:tc>
      </w:tr>
    </w:tbl>
    <w:p w14:paraId="4614AE81" w14:textId="77777777" w:rsidR="00D46387" w:rsidRPr="008D073C" w:rsidRDefault="00D46387" w:rsidP="00924574">
      <w:pPr>
        <w:spacing w:after="0" w:line="240" w:lineRule="auto"/>
        <w:jc w:val="both"/>
        <w:rPr>
          <w:sz w:val="20"/>
          <w:szCs w:val="20"/>
        </w:rPr>
      </w:pPr>
    </w:p>
    <w:sectPr w:rsidR="00D46387" w:rsidRPr="008D073C" w:rsidSect="00853309">
      <w:headerReference w:type="even" r:id="rId7"/>
      <w:headerReference w:type="default" r:id="rId8"/>
      <w:footerReference w:type="even" r:id="rId9"/>
      <w:footerReference w:type="default" r:id="rId10"/>
      <w:headerReference w:type="first" r:id="rId11"/>
      <w:footerReference w:type="first" r:id="rId12"/>
      <w:pgSz w:w="11906" w:h="16838"/>
      <w:pgMar w:top="1247" w:right="1134" w:bottom="1247"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4FE26" w14:textId="77777777" w:rsidR="00374ACA" w:rsidRDefault="00374ACA" w:rsidP="005E7102">
      <w:pPr>
        <w:spacing w:after="0" w:line="240" w:lineRule="auto"/>
      </w:pPr>
      <w:r>
        <w:separator/>
      </w:r>
    </w:p>
  </w:endnote>
  <w:endnote w:type="continuationSeparator" w:id="0">
    <w:p w14:paraId="1EEC3744" w14:textId="77777777" w:rsidR="00374ACA" w:rsidRDefault="00374ACA" w:rsidP="005E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3549" w14:textId="77777777" w:rsidR="00671266" w:rsidRDefault="00671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B08F7" w14:textId="77777777" w:rsidR="00671266" w:rsidRDefault="00671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7CEB7" w14:textId="77777777" w:rsidR="00671266" w:rsidRDefault="00671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B0D4" w14:textId="77777777" w:rsidR="00374ACA" w:rsidRDefault="00374ACA" w:rsidP="005E7102">
      <w:pPr>
        <w:spacing w:after="0" w:line="240" w:lineRule="auto"/>
      </w:pPr>
      <w:bookmarkStart w:id="0" w:name="_Hlk74757472"/>
      <w:bookmarkEnd w:id="0"/>
      <w:r>
        <w:separator/>
      </w:r>
    </w:p>
  </w:footnote>
  <w:footnote w:type="continuationSeparator" w:id="0">
    <w:p w14:paraId="0D2AC237" w14:textId="77777777" w:rsidR="00374ACA" w:rsidRDefault="00374ACA" w:rsidP="005E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8F2B" w14:textId="77777777" w:rsidR="00671266" w:rsidRDefault="00671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3575" w14:textId="22C9607B" w:rsidR="00D46387" w:rsidRDefault="00671266" w:rsidP="00853309">
    <w:pPr>
      <w:pStyle w:val="Header"/>
      <w:jc w:val="center"/>
    </w:pPr>
    <w:r>
      <w:rPr>
        <w:noProof/>
      </w:rPr>
      <w:drawing>
        <wp:inline distT="0" distB="0" distL="0" distR="0" wp14:anchorId="22871E1C" wp14:editId="349AE054">
          <wp:extent cx="692150" cy="692150"/>
          <wp:effectExtent l="0" t="0" r="0" b="0"/>
          <wp:docPr id="68828205" name="Picture 1" descr="A blue circle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8205" name="Picture 1" descr="A blue circle with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2186" cy="692186"/>
                  </a:xfrm>
                  <a:prstGeom prst="rect">
                    <a:avLst/>
                  </a:prstGeom>
                </pic:spPr>
              </pic:pic>
            </a:graphicData>
          </a:graphic>
        </wp:inline>
      </w:drawing>
    </w:r>
  </w:p>
  <w:p w14:paraId="3F690E72" w14:textId="0AE4EC56" w:rsidR="00853309" w:rsidRDefault="00853309" w:rsidP="00853309">
    <w:pPr>
      <w:pStyle w:val="Header"/>
      <w:jc w:val="center"/>
    </w:pPr>
    <w:bookmarkStart w:id="1" w:name="_Hlk73980356"/>
    <w:bookmarkStart w:id="2" w:name="_Hlk73980357"/>
    <w:bookmarkStart w:id="3" w:name="_Hlk73980511"/>
    <w:bookmarkStart w:id="4" w:name="_Hlk73980512"/>
    <w:bookmarkStart w:id="5" w:name="_Hlk73980764"/>
    <w:bookmarkStart w:id="6" w:name="_Hlk73980765"/>
    <w:bookmarkStart w:id="7" w:name="_Hlk73980899"/>
    <w:bookmarkStart w:id="8" w:name="_Hlk73980900"/>
  </w:p>
  <w:p w14:paraId="7203DFF8" w14:textId="4A3E2E9D" w:rsidR="00D46387" w:rsidRPr="00853309" w:rsidRDefault="00853309" w:rsidP="00853309">
    <w:pPr>
      <w:pStyle w:val="Header"/>
      <w:jc w:val="center"/>
      <w:rPr>
        <w:b/>
        <w:bCs/>
        <w:color w:val="000066"/>
        <w:sz w:val="28"/>
        <w:szCs w:val="28"/>
      </w:rPr>
    </w:pPr>
    <w:r w:rsidRPr="006F44BF">
      <w:rPr>
        <w:b/>
        <w:bCs/>
        <w:color w:val="000066"/>
        <w:sz w:val="28"/>
        <w:szCs w:val="28"/>
      </w:rPr>
      <w:t>#fastfearlessfun</w:t>
    </w:r>
    <w:bookmarkEnd w:id="1"/>
    <w:bookmarkEnd w:id="2"/>
    <w:bookmarkEnd w:id="3"/>
    <w:bookmarkEnd w:id="4"/>
    <w:bookmarkEnd w:id="5"/>
    <w:bookmarkEnd w:id="6"/>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4D3A" w14:textId="77777777" w:rsidR="00671266" w:rsidRDefault="00671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5F4A"/>
    <w:multiLevelType w:val="hybridMultilevel"/>
    <w:tmpl w:val="7DC44DB4"/>
    <w:lvl w:ilvl="0" w:tplc="ED1A87EA">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4AF1F7B"/>
    <w:multiLevelType w:val="hybridMultilevel"/>
    <w:tmpl w:val="DBB2D8A0"/>
    <w:lvl w:ilvl="0" w:tplc="C0AE70CC">
      <w:start w:val="2"/>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C11B04"/>
    <w:multiLevelType w:val="hybridMultilevel"/>
    <w:tmpl w:val="989C031A"/>
    <w:lvl w:ilvl="0" w:tplc="BA3E6E5E">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11669C"/>
    <w:multiLevelType w:val="hybridMultilevel"/>
    <w:tmpl w:val="224C1610"/>
    <w:lvl w:ilvl="0" w:tplc="EA0ED16E">
      <w:start w:val="2"/>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34009D2"/>
    <w:multiLevelType w:val="hybridMultilevel"/>
    <w:tmpl w:val="F046554C"/>
    <w:lvl w:ilvl="0" w:tplc="0809000F">
      <w:start w:val="1"/>
      <w:numFmt w:val="decimal"/>
      <w:lvlText w:val="%1."/>
      <w:lvlJc w:val="left"/>
      <w:pPr>
        <w:ind w:left="1980" w:hanging="360"/>
      </w:pPr>
      <w:rPr>
        <w:rFonts w:cs="Times New Roman" w:hint="default"/>
      </w:rPr>
    </w:lvl>
    <w:lvl w:ilvl="1" w:tplc="08090019" w:tentative="1">
      <w:start w:val="1"/>
      <w:numFmt w:val="lowerLetter"/>
      <w:lvlText w:val="%2."/>
      <w:lvlJc w:val="left"/>
      <w:pPr>
        <w:ind w:left="2700" w:hanging="360"/>
      </w:pPr>
      <w:rPr>
        <w:rFonts w:cs="Times New Roman"/>
      </w:rPr>
    </w:lvl>
    <w:lvl w:ilvl="2" w:tplc="0809001B" w:tentative="1">
      <w:start w:val="1"/>
      <w:numFmt w:val="lowerRoman"/>
      <w:lvlText w:val="%3."/>
      <w:lvlJc w:val="right"/>
      <w:pPr>
        <w:ind w:left="3420" w:hanging="180"/>
      </w:pPr>
      <w:rPr>
        <w:rFonts w:cs="Times New Roman"/>
      </w:rPr>
    </w:lvl>
    <w:lvl w:ilvl="3" w:tplc="0809000F" w:tentative="1">
      <w:start w:val="1"/>
      <w:numFmt w:val="decimal"/>
      <w:lvlText w:val="%4."/>
      <w:lvlJc w:val="left"/>
      <w:pPr>
        <w:ind w:left="4140" w:hanging="360"/>
      </w:pPr>
      <w:rPr>
        <w:rFonts w:cs="Times New Roman"/>
      </w:rPr>
    </w:lvl>
    <w:lvl w:ilvl="4" w:tplc="08090019" w:tentative="1">
      <w:start w:val="1"/>
      <w:numFmt w:val="lowerLetter"/>
      <w:lvlText w:val="%5."/>
      <w:lvlJc w:val="left"/>
      <w:pPr>
        <w:ind w:left="4860" w:hanging="360"/>
      </w:pPr>
      <w:rPr>
        <w:rFonts w:cs="Times New Roman"/>
      </w:rPr>
    </w:lvl>
    <w:lvl w:ilvl="5" w:tplc="0809001B" w:tentative="1">
      <w:start w:val="1"/>
      <w:numFmt w:val="lowerRoman"/>
      <w:lvlText w:val="%6."/>
      <w:lvlJc w:val="right"/>
      <w:pPr>
        <w:ind w:left="5580" w:hanging="180"/>
      </w:pPr>
      <w:rPr>
        <w:rFonts w:cs="Times New Roman"/>
      </w:rPr>
    </w:lvl>
    <w:lvl w:ilvl="6" w:tplc="0809000F" w:tentative="1">
      <w:start w:val="1"/>
      <w:numFmt w:val="decimal"/>
      <w:lvlText w:val="%7."/>
      <w:lvlJc w:val="left"/>
      <w:pPr>
        <w:ind w:left="6300" w:hanging="360"/>
      </w:pPr>
      <w:rPr>
        <w:rFonts w:cs="Times New Roman"/>
      </w:rPr>
    </w:lvl>
    <w:lvl w:ilvl="7" w:tplc="08090019" w:tentative="1">
      <w:start w:val="1"/>
      <w:numFmt w:val="lowerLetter"/>
      <w:lvlText w:val="%8."/>
      <w:lvlJc w:val="left"/>
      <w:pPr>
        <w:ind w:left="7020" w:hanging="360"/>
      </w:pPr>
      <w:rPr>
        <w:rFonts w:cs="Times New Roman"/>
      </w:rPr>
    </w:lvl>
    <w:lvl w:ilvl="8" w:tplc="0809001B" w:tentative="1">
      <w:start w:val="1"/>
      <w:numFmt w:val="lowerRoman"/>
      <w:lvlText w:val="%9."/>
      <w:lvlJc w:val="right"/>
      <w:pPr>
        <w:ind w:left="7740" w:hanging="180"/>
      </w:pPr>
      <w:rPr>
        <w:rFonts w:cs="Times New Roman"/>
      </w:rPr>
    </w:lvl>
  </w:abstractNum>
  <w:abstractNum w:abstractNumId="5" w15:restartNumberingAfterBreak="0">
    <w:nsid w:val="2749429F"/>
    <w:multiLevelType w:val="hybridMultilevel"/>
    <w:tmpl w:val="09A669C0"/>
    <w:lvl w:ilvl="0" w:tplc="6036638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7531FDF"/>
    <w:multiLevelType w:val="hybridMultilevel"/>
    <w:tmpl w:val="3AD2F5EA"/>
    <w:lvl w:ilvl="0" w:tplc="08090019">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5C1465"/>
    <w:multiLevelType w:val="hybridMultilevel"/>
    <w:tmpl w:val="E13EC512"/>
    <w:lvl w:ilvl="0" w:tplc="ACCA6AD4">
      <w:start w:val="4"/>
      <w:numFmt w:val="decimal"/>
      <w:lvlText w:val="%1."/>
      <w:lvlJc w:val="left"/>
      <w:pPr>
        <w:tabs>
          <w:tab w:val="num" w:pos="540"/>
        </w:tabs>
        <w:ind w:hanging="54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5D6E26"/>
    <w:multiLevelType w:val="hybridMultilevel"/>
    <w:tmpl w:val="8AD6B3B0"/>
    <w:lvl w:ilvl="0" w:tplc="08090019">
      <w:start w:val="8"/>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1BC7F7E"/>
    <w:multiLevelType w:val="hybridMultilevel"/>
    <w:tmpl w:val="AF98C656"/>
    <w:lvl w:ilvl="0" w:tplc="FC469690">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3FC5219"/>
    <w:multiLevelType w:val="hybridMultilevel"/>
    <w:tmpl w:val="EB5CA9DC"/>
    <w:lvl w:ilvl="0" w:tplc="AA2018C0">
      <w:start w:val="5"/>
      <w:numFmt w:val="decimal"/>
      <w:lvlText w:val="%1."/>
      <w:lvlJc w:val="left"/>
      <w:pPr>
        <w:tabs>
          <w:tab w:val="num" w:pos="0"/>
        </w:tabs>
        <w:ind w:hanging="540"/>
      </w:pPr>
      <w:rPr>
        <w:rFonts w:cs="Times New Roman" w:hint="default"/>
      </w:rPr>
    </w:lvl>
    <w:lvl w:ilvl="1" w:tplc="08090019" w:tentative="1">
      <w:start w:val="1"/>
      <w:numFmt w:val="lowerLetter"/>
      <w:lvlText w:val="%2."/>
      <w:lvlJc w:val="left"/>
      <w:pPr>
        <w:tabs>
          <w:tab w:val="num" w:pos="540"/>
        </w:tabs>
        <w:ind w:left="540" w:hanging="360"/>
      </w:pPr>
      <w:rPr>
        <w:rFonts w:cs="Times New Roman"/>
      </w:rPr>
    </w:lvl>
    <w:lvl w:ilvl="2" w:tplc="0809001B" w:tentative="1">
      <w:start w:val="1"/>
      <w:numFmt w:val="lowerRoman"/>
      <w:lvlText w:val="%3."/>
      <w:lvlJc w:val="right"/>
      <w:pPr>
        <w:tabs>
          <w:tab w:val="num" w:pos="1260"/>
        </w:tabs>
        <w:ind w:left="1260" w:hanging="180"/>
      </w:pPr>
      <w:rPr>
        <w:rFonts w:cs="Times New Roman"/>
      </w:rPr>
    </w:lvl>
    <w:lvl w:ilvl="3" w:tplc="0809000F" w:tentative="1">
      <w:start w:val="1"/>
      <w:numFmt w:val="decimal"/>
      <w:lvlText w:val="%4."/>
      <w:lvlJc w:val="left"/>
      <w:pPr>
        <w:tabs>
          <w:tab w:val="num" w:pos="1980"/>
        </w:tabs>
        <w:ind w:left="1980" w:hanging="360"/>
      </w:pPr>
      <w:rPr>
        <w:rFonts w:cs="Times New Roman"/>
      </w:rPr>
    </w:lvl>
    <w:lvl w:ilvl="4" w:tplc="08090019" w:tentative="1">
      <w:start w:val="1"/>
      <w:numFmt w:val="lowerLetter"/>
      <w:lvlText w:val="%5."/>
      <w:lvlJc w:val="left"/>
      <w:pPr>
        <w:tabs>
          <w:tab w:val="num" w:pos="2700"/>
        </w:tabs>
        <w:ind w:left="2700" w:hanging="360"/>
      </w:pPr>
      <w:rPr>
        <w:rFonts w:cs="Times New Roman"/>
      </w:rPr>
    </w:lvl>
    <w:lvl w:ilvl="5" w:tplc="0809001B" w:tentative="1">
      <w:start w:val="1"/>
      <w:numFmt w:val="lowerRoman"/>
      <w:lvlText w:val="%6."/>
      <w:lvlJc w:val="right"/>
      <w:pPr>
        <w:tabs>
          <w:tab w:val="num" w:pos="3420"/>
        </w:tabs>
        <w:ind w:left="3420" w:hanging="180"/>
      </w:pPr>
      <w:rPr>
        <w:rFonts w:cs="Times New Roman"/>
      </w:rPr>
    </w:lvl>
    <w:lvl w:ilvl="6" w:tplc="0809000F" w:tentative="1">
      <w:start w:val="1"/>
      <w:numFmt w:val="decimal"/>
      <w:lvlText w:val="%7."/>
      <w:lvlJc w:val="left"/>
      <w:pPr>
        <w:tabs>
          <w:tab w:val="num" w:pos="4140"/>
        </w:tabs>
        <w:ind w:left="4140" w:hanging="360"/>
      </w:pPr>
      <w:rPr>
        <w:rFonts w:cs="Times New Roman"/>
      </w:rPr>
    </w:lvl>
    <w:lvl w:ilvl="7" w:tplc="08090019" w:tentative="1">
      <w:start w:val="1"/>
      <w:numFmt w:val="lowerLetter"/>
      <w:lvlText w:val="%8."/>
      <w:lvlJc w:val="left"/>
      <w:pPr>
        <w:tabs>
          <w:tab w:val="num" w:pos="4860"/>
        </w:tabs>
        <w:ind w:left="4860" w:hanging="360"/>
      </w:pPr>
      <w:rPr>
        <w:rFonts w:cs="Times New Roman"/>
      </w:rPr>
    </w:lvl>
    <w:lvl w:ilvl="8" w:tplc="0809001B" w:tentative="1">
      <w:start w:val="1"/>
      <w:numFmt w:val="lowerRoman"/>
      <w:lvlText w:val="%9."/>
      <w:lvlJc w:val="right"/>
      <w:pPr>
        <w:tabs>
          <w:tab w:val="num" w:pos="5580"/>
        </w:tabs>
        <w:ind w:left="5580" w:hanging="180"/>
      </w:pPr>
      <w:rPr>
        <w:rFonts w:cs="Times New Roman"/>
      </w:rPr>
    </w:lvl>
  </w:abstractNum>
  <w:abstractNum w:abstractNumId="11" w15:restartNumberingAfterBreak="0">
    <w:nsid w:val="4BA0797E"/>
    <w:multiLevelType w:val="hybridMultilevel"/>
    <w:tmpl w:val="E89A1742"/>
    <w:lvl w:ilvl="0" w:tplc="04AE0772">
      <w:start w:val="6"/>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5F1CD8"/>
    <w:multiLevelType w:val="hybridMultilevel"/>
    <w:tmpl w:val="24C27B8A"/>
    <w:lvl w:ilvl="0" w:tplc="E160DF88">
      <w:start w:val="2"/>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F03C3B"/>
    <w:multiLevelType w:val="hybridMultilevel"/>
    <w:tmpl w:val="79A6780A"/>
    <w:lvl w:ilvl="0" w:tplc="B9207052">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16F54C1"/>
    <w:multiLevelType w:val="hybridMultilevel"/>
    <w:tmpl w:val="867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550F8"/>
    <w:multiLevelType w:val="hybridMultilevel"/>
    <w:tmpl w:val="F41A44DA"/>
    <w:lvl w:ilvl="0" w:tplc="359C205C">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061683"/>
    <w:multiLevelType w:val="hybridMultilevel"/>
    <w:tmpl w:val="EDF44A10"/>
    <w:lvl w:ilvl="0" w:tplc="6186D988">
      <w:start w:val="5"/>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BC70485"/>
    <w:multiLevelType w:val="hybridMultilevel"/>
    <w:tmpl w:val="C7D60DB6"/>
    <w:lvl w:ilvl="0" w:tplc="66FC54E2">
      <w:start w:val="2"/>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E3539C4"/>
    <w:multiLevelType w:val="hybridMultilevel"/>
    <w:tmpl w:val="4DB6B78E"/>
    <w:lvl w:ilvl="0" w:tplc="09184AAE">
      <w:start w:val="3"/>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851A8B"/>
    <w:multiLevelType w:val="hybridMultilevel"/>
    <w:tmpl w:val="D646DF10"/>
    <w:lvl w:ilvl="0" w:tplc="3B06D3F4">
      <w:start w:val="100"/>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6062002"/>
    <w:multiLevelType w:val="hybridMultilevel"/>
    <w:tmpl w:val="D3286362"/>
    <w:lvl w:ilvl="0" w:tplc="327C238A">
      <w:start w:val="1"/>
      <w:numFmt w:val="lowerLetter"/>
      <w:lvlText w:val="%1."/>
      <w:lvlJc w:val="left"/>
      <w:pPr>
        <w:tabs>
          <w:tab w:val="num" w:pos="1440"/>
        </w:tabs>
        <w:ind w:left="1440" w:hanging="720"/>
      </w:pPr>
      <w:rPr>
        <w:rFonts w:ascii="Arial" w:hAnsi="Arial" w:cs="Aria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16cid:durableId="1981492990">
    <w:abstractNumId w:val="4"/>
  </w:num>
  <w:num w:numId="2" w16cid:durableId="1856766512">
    <w:abstractNumId w:val="2"/>
  </w:num>
  <w:num w:numId="3" w16cid:durableId="837968059">
    <w:abstractNumId w:val="6"/>
  </w:num>
  <w:num w:numId="4" w16cid:durableId="1797336852">
    <w:abstractNumId w:val="15"/>
  </w:num>
  <w:num w:numId="5" w16cid:durableId="1300650561">
    <w:abstractNumId w:val="17"/>
  </w:num>
  <w:num w:numId="6" w16cid:durableId="120922173">
    <w:abstractNumId w:val="5"/>
  </w:num>
  <w:num w:numId="7" w16cid:durableId="85465277">
    <w:abstractNumId w:val="9"/>
  </w:num>
  <w:num w:numId="8" w16cid:durableId="1991053596">
    <w:abstractNumId w:val="0"/>
  </w:num>
  <w:num w:numId="9" w16cid:durableId="522399660">
    <w:abstractNumId w:val="13"/>
  </w:num>
  <w:num w:numId="10" w16cid:durableId="1539585508">
    <w:abstractNumId w:val="1"/>
  </w:num>
  <w:num w:numId="11" w16cid:durableId="160245645">
    <w:abstractNumId w:val="12"/>
  </w:num>
  <w:num w:numId="12" w16cid:durableId="317661357">
    <w:abstractNumId w:val="18"/>
  </w:num>
  <w:num w:numId="13" w16cid:durableId="1804738258">
    <w:abstractNumId w:val="3"/>
  </w:num>
  <w:num w:numId="14" w16cid:durableId="421493651">
    <w:abstractNumId w:val="20"/>
  </w:num>
  <w:num w:numId="15" w16cid:durableId="2105223192">
    <w:abstractNumId w:val="10"/>
  </w:num>
  <w:num w:numId="16" w16cid:durableId="1722289854">
    <w:abstractNumId w:val="14"/>
  </w:num>
  <w:num w:numId="17" w16cid:durableId="445853099">
    <w:abstractNumId w:val="7"/>
  </w:num>
  <w:num w:numId="18" w16cid:durableId="309680359">
    <w:abstractNumId w:val="16"/>
  </w:num>
  <w:num w:numId="19" w16cid:durableId="359428778">
    <w:abstractNumId w:val="11"/>
  </w:num>
  <w:num w:numId="20" w16cid:durableId="1782335143">
    <w:abstractNumId w:val="8"/>
  </w:num>
  <w:num w:numId="21" w16cid:durableId="15316086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F0"/>
    <w:rsid w:val="00005963"/>
    <w:rsid w:val="0002163B"/>
    <w:rsid w:val="00041ACD"/>
    <w:rsid w:val="000557B3"/>
    <w:rsid w:val="0008221C"/>
    <w:rsid w:val="00083ED7"/>
    <w:rsid w:val="00093C5E"/>
    <w:rsid w:val="000B556F"/>
    <w:rsid w:val="00107401"/>
    <w:rsid w:val="001234F7"/>
    <w:rsid w:val="00125015"/>
    <w:rsid w:val="00130879"/>
    <w:rsid w:val="00145A0F"/>
    <w:rsid w:val="0021532B"/>
    <w:rsid w:val="00227843"/>
    <w:rsid w:val="002316C9"/>
    <w:rsid w:val="0025314D"/>
    <w:rsid w:val="002823D3"/>
    <w:rsid w:val="0028460F"/>
    <w:rsid w:val="00332245"/>
    <w:rsid w:val="00374ACA"/>
    <w:rsid w:val="00382233"/>
    <w:rsid w:val="00386934"/>
    <w:rsid w:val="0038758F"/>
    <w:rsid w:val="003A2C1C"/>
    <w:rsid w:val="003F1345"/>
    <w:rsid w:val="00403A0B"/>
    <w:rsid w:val="00451063"/>
    <w:rsid w:val="00457738"/>
    <w:rsid w:val="00486C36"/>
    <w:rsid w:val="004B0839"/>
    <w:rsid w:val="004B104A"/>
    <w:rsid w:val="004B11F5"/>
    <w:rsid w:val="004D0FF9"/>
    <w:rsid w:val="004D2416"/>
    <w:rsid w:val="004F7211"/>
    <w:rsid w:val="0054330B"/>
    <w:rsid w:val="00555741"/>
    <w:rsid w:val="005A1D14"/>
    <w:rsid w:val="005C4339"/>
    <w:rsid w:val="005C71CC"/>
    <w:rsid w:val="005D72F1"/>
    <w:rsid w:val="005E7102"/>
    <w:rsid w:val="005F4109"/>
    <w:rsid w:val="005F56C3"/>
    <w:rsid w:val="00606600"/>
    <w:rsid w:val="006500EB"/>
    <w:rsid w:val="00664E64"/>
    <w:rsid w:val="00671266"/>
    <w:rsid w:val="006802E7"/>
    <w:rsid w:val="00692936"/>
    <w:rsid w:val="006B0AA7"/>
    <w:rsid w:val="006B4D2C"/>
    <w:rsid w:val="006D5FA9"/>
    <w:rsid w:val="006F0B64"/>
    <w:rsid w:val="007179A5"/>
    <w:rsid w:val="00725542"/>
    <w:rsid w:val="00742393"/>
    <w:rsid w:val="0075586D"/>
    <w:rsid w:val="0075645B"/>
    <w:rsid w:val="00761253"/>
    <w:rsid w:val="00761E00"/>
    <w:rsid w:val="00785C83"/>
    <w:rsid w:val="00791236"/>
    <w:rsid w:val="007A2A43"/>
    <w:rsid w:val="00835D3E"/>
    <w:rsid w:val="008501B3"/>
    <w:rsid w:val="00853309"/>
    <w:rsid w:val="008A65B6"/>
    <w:rsid w:val="008C549F"/>
    <w:rsid w:val="008D073C"/>
    <w:rsid w:val="00901151"/>
    <w:rsid w:val="009136C6"/>
    <w:rsid w:val="00917F66"/>
    <w:rsid w:val="00924574"/>
    <w:rsid w:val="00941A2C"/>
    <w:rsid w:val="00953A56"/>
    <w:rsid w:val="00956460"/>
    <w:rsid w:val="00972D0F"/>
    <w:rsid w:val="009920E3"/>
    <w:rsid w:val="009B477D"/>
    <w:rsid w:val="009E1A1E"/>
    <w:rsid w:val="00A43958"/>
    <w:rsid w:val="00A52F22"/>
    <w:rsid w:val="00A64632"/>
    <w:rsid w:val="00A72832"/>
    <w:rsid w:val="00B506E6"/>
    <w:rsid w:val="00B525DF"/>
    <w:rsid w:val="00B610D0"/>
    <w:rsid w:val="00BD1781"/>
    <w:rsid w:val="00BE18F0"/>
    <w:rsid w:val="00BE39CB"/>
    <w:rsid w:val="00C45A90"/>
    <w:rsid w:val="00D46387"/>
    <w:rsid w:val="00D54EFD"/>
    <w:rsid w:val="00D73205"/>
    <w:rsid w:val="00D818FA"/>
    <w:rsid w:val="00D93578"/>
    <w:rsid w:val="00D9517A"/>
    <w:rsid w:val="00DB03E9"/>
    <w:rsid w:val="00DC7F8C"/>
    <w:rsid w:val="00DD13CD"/>
    <w:rsid w:val="00DD4101"/>
    <w:rsid w:val="00DE3040"/>
    <w:rsid w:val="00DE5BA5"/>
    <w:rsid w:val="00E253A8"/>
    <w:rsid w:val="00E60D07"/>
    <w:rsid w:val="00E65FF3"/>
    <w:rsid w:val="00E90B93"/>
    <w:rsid w:val="00E96406"/>
    <w:rsid w:val="00F34824"/>
    <w:rsid w:val="00F44B4F"/>
    <w:rsid w:val="00F53E13"/>
    <w:rsid w:val="00FF3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C5AC19"/>
  <w15:docId w15:val="{88EBE697-06CB-49C1-B182-4F24653E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05"/>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18F0"/>
    <w:pPr>
      <w:ind w:left="720"/>
      <w:contextualSpacing/>
    </w:pPr>
  </w:style>
  <w:style w:type="paragraph" w:styleId="Header">
    <w:name w:val="header"/>
    <w:basedOn w:val="Normal"/>
    <w:link w:val="HeaderChar"/>
    <w:uiPriority w:val="99"/>
    <w:rsid w:val="005E710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7102"/>
    <w:rPr>
      <w:rFonts w:cs="Times New Roman"/>
    </w:rPr>
  </w:style>
  <w:style w:type="paragraph" w:styleId="Footer">
    <w:name w:val="footer"/>
    <w:basedOn w:val="Normal"/>
    <w:link w:val="FooterChar"/>
    <w:uiPriority w:val="99"/>
    <w:rsid w:val="005E710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7102"/>
    <w:rPr>
      <w:rFonts w:cs="Times New Roman"/>
    </w:rPr>
  </w:style>
  <w:style w:type="paragraph" w:styleId="DocumentMap">
    <w:name w:val="Document Map"/>
    <w:basedOn w:val="Normal"/>
    <w:link w:val="DocumentMapChar"/>
    <w:uiPriority w:val="99"/>
    <w:semiHidden/>
    <w:rsid w:val="005F56C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53A56"/>
    <w:rPr>
      <w:rFonts w:ascii="Times New Roman" w:hAnsi="Times New Roman" w:cs="Times New Roman"/>
      <w:sz w:val="2"/>
    </w:rPr>
  </w:style>
  <w:style w:type="paragraph" w:styleId="FootnoteText">
    <w:name w:val="footnote text"/>
    <w:basedOn w:val="Normal"/>
    <w:link w:val="FootnoteTextChar"/>
    <w:uiPriority w:val="99"/>
    <w:semiHidden/>
    <w:rsid w:val="00107401"/>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107401"/>
    <w:rPr>
      <w:rFonts w:cs="Times New Roman"/>
      <w:vertAlign w:val="superscript"/>
    </w:rPr>
  </w:style>
  <w:style w:type="character" w:styleId="Hyperlink">
    <w:name w:val="Hyperlink"/>
    <w:basedOn w:val="DefaultParagraphFont"/>
    <w:uiPriority w:val="99"/>
    <w:rsid w:val="00D54EFD"/>
    <w:rPr>
      <w:rFonts w:cs="Times New Roman"/>
      <w:color w:val="0000FF"/>
      <w:u w:val="single"/>
    </w:rPr>
  </w:style>
  <w:style w:type="table" w:styleId="TableGrid">
    <w:name w:val="Table Grid"/>
    <w:basedOn w:val="TableNormal"/>
    <w:uiPriority w:val="39"/>
    <w:locked/>
    <w:rsid w:val="0092457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801819697661961589gmail-m-7170600152244752748msoheader">
    <w:name w:val="gmail-m_-8801819697661961589gmail-m-7170600152244752748msoheader"/>
    <w:basedOn w:val="Normal"/>
    <w:rsid w:val="00924574"/>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3357</Characters>
  <Application>Microsoft Office Word</Application>
  <DocSecurity>0</DocSecurity>
  <Lines>81</Lines>
  <Paragraphs>38</Paragraphs>
  <ScaleCrop>false</ScaleCrop>
  <HeadingPairs>
    <vt:vector size="2" baseType="variant">
      <vt:variant>
        <vt:lpstr>Title</vt:lpstr>
      </vt:variant>
      <vt:variant>
        <vt:i4>1</vt:i4>
      </vt:variant>
    </vt:vector>
  </HeadingPairs>
  <TitlesOfParts>
    <vt:vector size="1" baseType="lpstr">
      <vt:lpstr/>
    </vt:vector>
  </TitlesOfParts>
  <Company>Wessex Water</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jo mcdermid</cp:lastModifiedBy>
  <cp:revision>3</cp:revision>
  <cp:lastPrinted>2014-08-29T15:45:00Z</cp:lastPrinted>
  <dcterms:created xsi:type="dcterms:W3CDTF">2025-05-08T12:55:00Z</dcterms:created>
  <dcterms:modified xsi:type="dcterms:W3CDTF">2025-08-25T10:01:00Z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360fd618-dc5e-4331-a08c-020e9fc7259e</vt:lpwstr>
  </property>
</Properties>
</file>